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2E3" w14:textId="77777777" w:rsidR="00296FBA" w:rsidRDefault="00296FBA">
      <w:pPr>
        <w:rPr>
          <w:lang w:val="en-US"/>
        </w:rPr>
      </w:pPr>
    </w:p>
    <w:p w14:paraId="24FE5DE6" w14:textId="638DC13A" w:rsidR="009511D5" w:rsidRDefault="009511D5">
      <w:pPr>
        <w:rPr>
          <w:lang w:val="en-US"/>
        </w:rPr>
      </w:pPr>
      <w:r>
        <w:rPr>
          <w:lang w:val="en-US"/>
        </w:rPr>
        <w:t>17 Recommendations from SSC guidelines 2021</w:t>
      </w:r>
    </w:p>
    <w:p w14:paraId="30B16ACE" w14:textId="77777777" w:rsidR="009511D5" w:rsidRDefault="009511D5">
      <w:pPr>
        <w:rPr>
          <w:lang w:val="en-US"/>
        </w:rPr>
      </w:pPr>
    </w:p>
    <w:tbl>
      <w:tblPr>
        <w:tblStyle w:val="Mkatabulky"/>
        <w:tblW w:w="9711"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9090"/>
      </w:tblGrid>
      <w:tr w:rsidR="009511D5" w:rsidRPr="005E606B" w14:paraId="6E36CFF2" w14:textId="77777777" w:rsidTr="005B2E43">
        <w:tc>
          <w:tcPr>
            <w:tcW w:w="621" w:type="dxa"/>
          </w:tcPr>
          <w:p w14:paraId="7B8A1B41" w14:textId="77777777" w:rsidR="009511D5" w:rsidRPr="005E606B" w:rsidRDefault="009511D5" w:rsidP="006B2EE7">
            <w:pPr>
              <w:spacing w:line="276" w:lineRule="auto"/>
              <w:rPr>
                <w:b w:val="0"/>
                <w:bCs w:val="0"/>
                <w:szCs w:val="24"/>
              </w:rPr>
            </w:pPr>
            <w:r w:rsidRPr="005E606B">
              <w:rPr>
                <w:b w:val="0"/>
                <w:bCs w:val="0"/>
                <w:szCs w:val="24"/>
              </w:rPr>
              <w:t>1</w:t>
            </w:r>
          </w:p>
        </w:tc>
        <w:tc>
          <w:tcPr>
            <w:tcW w:w="9090" w:type="dxa"/>
          </w:tcPr>
          <w:p w14:paraId="7C4495E1" w14:textId="77777777" w:rsidR="009511D5" w:rsidRPr="005E606B" w:rsidRDefault="009511D5" w:rsidP="006B2EE7">
            <w:pPr>
              <w:spacing w:line="276" w:lineRule="auto"/>
              <w:rPr>
                <w:b w:val="0"/>
                <w:bCs w:val="0"/>
                <w:szCs w:val="24"/>
              </w:rPr>
            </w:pPr>
            <w:r w:rsidRPr="005E606B">
              <w:rPr>
                <w:b w:val="0"/>
                <w:bCs w:val="0"/>
                <w:szCs w:val="24"/>
              </w:rPr>
              <w:t>We recommend against using qSOFA compared with SIRS, NEWS, or MEWS as a single screening tool for sepsis or septic shock.</w:t>
            </w:r>
          </w:p>
        </w:tc>
      </w:tr>
      <w:tr w:rsidR="009511D5" w:rsidRPr="005E606B" w14:paraId="53E271BC" w14:textId="77777777" w:rsidTr="005B2E43">
        <w:tc>
          <w:tcPr>
            <w:tcW w:w="621" w:type="dxa"/>
          </w:tcPr>
          <w:p w14:paraId="47D476D1" w14:textId="77777777" w:rsidR="009511D5" w:rsidRPr="005E606B" w:rsidRDefault="009511D5" w:rsidP="006B2EE7">
            <w:pPr>
              <w:spacing w:line="276" w:lineRule="auto"/>
              <w:rPr>
                <w:b w:val="0"/>
                <w:bCs w:val="0"/>
                <w:szCs w:val="24"/>
              </w:rPr>
            </w:pPr>
            <w:r w:rsidRPr="005E606B">
              <w:rPr>
                <w:b w:val="0"/>
                <w:bCs w:val="0"/>
                <w:szCs w:val="24"/>
              </w:rPr>
              <w:t>2</w:t>
            </w:r>
          </w:p>
        </w:tc>
        <w:tc>
          <w:tcPr>
            <w:tcW w:w="9090" w:type="dxa"/>
          </w:tcPr>
          <w:p w14:paraId="3CDF0C2A" w14:textId="3049E834" w:rsidR="009511D5" w:rsidRPr="005E606B" w:rsidRDefault="009511D5" w:rsidP="006B2EE7">
            <w:pPr>
              <w:spacing w:line="276" w:lineRule="auto"/>
              <w:rPr>
                <w:b w:val="0"/>
                <w:bCs w:val="0"/>
                <w:szCs w:val="24"/>
              </w:rPr>
            </w:pPr>
            <w:r w:rsidRPr="005E606B">
              <w:rPr>
                <w:b w:val="0"/>
                <w:bCs w:val="0"/>
                <w:szCs w:val="24"/>
              </w:rPr>
              <w:t>For adults with septic shock on vasopressors, we recommend an initial target mean arterial pressure (MAP) of 65</w:t>
            </w:r>
            <w:r w:rsidR="00940170">
              <w:rPr>
                <w:b w:val="0"/>
                <w:bCs w:val="0"/>
                <w:szCs w:val="24"/>
              </w:rPr>
              <w:t xml:space="preserve"> </w:t>
            </w:r>
            <w:r w:rsidRPr="005E606B">
              <w:rPr>
                <w:b w:val="0"/>
                <w:bCs w:val="0"/>
                <w:szCs w:val="24"/>
              </w:rPr>
              <w:t>mm Hg over higher MAP targets.</w:t>
            </w:r>
          </w:p>
        </w:tc>
      </w:tr>
      <w:tr w:rsidR="009511D5" w:rsidRPr="005E606B" w14:paraId="5DF40F85" w14:textId="77777777" w:rsidTr="005B2E43">
        <w:tc>
          <w:tcPr>
            <w:tcW w:w="621" w:type="dxa"/>
          </w:tcPr>
          <w:p w14:paraId="31322844" w14:textId="77777777" w:rsidR="009511D5" w:rsidRPr="005E606B" w:rsidRDefault="009511D5" w:rsidP="006B2EE7">
            <w:pPr>
              <w:spacing w:line="276" w:lineRule="auto"/>
              <w:rPr>
                <w:b w:val="0"/>
                <w:bCs w:val="0"/>
                <w:szCs w:val="24"/>
              </w:rPr>
            </w:pPr>
            <w:r w:rsidRPr="005E606B">
              <w:rPr>
                <w:b w:val="0"/>
                <w:bCs w:val="0"/>
                <w:szCs w:val="24"/>
              </w:rPr>
              <w:t>3</w:t>
            </w:r>
          </w:p>
        </w:tc>
        <w:tc>
          <w:tcPr>
            <w:tcW w:w="9090" w:type="dxa"/>
          </w:tcPr>
          <w:p w14:paraId="6C3F92EA" w14:textId="77777777" w:rsidR="009511D5" w:rsidRPr="005E606B" w:rsidRDefault="009511D5" w:rsidP="006B2EE7">
            <w:pPr>
              <w:spacing w:line="276" w:lineRule="auto"/>
              <w:rPr>
                <w:b w:val="0"/>
                <w:bCs w:val="0"/>
                <w:szCs w:val="24"/>
              </w:rPr>
            </w:pPr>
            <w:r w:rsidRPr="005E606B">
              <w:rPr>
                <w:b w:val="0"/>
                <w:bCs w:val="0"/>
                <w:szCs w:val="24"/>
              </w:rPr>
              <w:t>For adults with sepsis or septic shock at high risk of MRSA, we recommend using empiric antimicrobials with MRSA coverage over using antimicrobials without MRSA coverage.</w:t>
            </w:r>
          </w:p>
        </w:tc>
      </w:tr>
      <w:tr w:rsidR="009511D5" w:rsidRPr="005E606B" w14:paraId="427B7E10" w14:textId="77777777" w:rsidTr="005B2E43">
        <w:tc>
          <w:tcPr>
            <w:tcW w:w="621" w:type="dxa"/>
          </w:tcPr>
          <w:p w14:paraId="77044C89" w14:textId="77777777" w:rsidR="009511D5" w:rsidRPr="005E606B" w:rsidRDefault="009511D5" w:rsidP="006B2EE7">
            <w:pPr>
              <w:spacing w:line="276" w:lineRule="auto"/>
              <w:rPr>
                <w:b w:val="0"/>
                <w:bCs w:val="0"/>
                <w:szCs w:val="24"/>
              </w:rPr>
            </w:pPr>
            <w:r w:rsidRPr="005E606B">
              <w:rPr>
                <w:b w:val="0"/>
                <w:bCs w:val="0"/>
                <w:szCs w:val="24"/>
              </w:rPr>
              <w:t>4</w:t>
            </w:r>
          </w:p>
        </w:tc>
        <w:tc>
          <w:tcPr>
            <w:tcW w:w="9090" w:type="dxa"/>
          </w:tcPr>
          <w:p w14:paraId="7AF92132" w14:textId="77777777" w:rsidR="009511D5" w:rsidRPr="005E606B" w:rsidRDefault="009511D5" w:rsidP="006B2EE7">
            <w:pPr>
              <w:spacing w:line="276" w:lineRule="auto"/>
              <w:rPr>
                <w:b w:val="0"/>
                <w:bCs w:val="0"/>
                <w:szCs w:val="24"/>
              </w:rPr>
            </w:pPr>
            <w:r w:rsidRPr="005E606B">
              <w:rPr>
                <w:b w:val="0"/>
                <w:bCs w:val="0"/>
                <w:szCs w:val="24"/>
              </w:rPr>
              <w:t>For adults with sepsis or septic shock, we recommend prompt removal of intravascular access devices that are a possible source of sepsis or septic shock after other vascular access has been established.</w:t>
            </w:r>
          </w:p>
        </w:tc>
      </w:tr>
      <w:tr w:rsidR="009511D5" w:rsidRPr="005E606B" w14:paraId="1673C5A1" w14:textId="77777777" w:rsidTr="005B2E43">
        <w:tc>
          <w:tcPr>
            <w:tcW w:w="621" w:type="dxa"/>
          </w:tcPr>
          <w:p w14:paraId="16A0123E" w14:textId="77777777" w:rsidR="009511D5" w:rsidRPr="005E606B" w:rsidRDefault="009511D5" w:rsidP="006B2EE7">
            <w:pPr>
              <w:spacing w:line="276" w:lineRule="auto"/>
              <w:rPr>
                <w:b w:val="0"/>
                <w:bCs w:val="0"/>
                <w:szCs w:val="24"/>
              </w:rPr>
            </w:pPr>
            <w:r w:rsidRPr="005E606B">
              <w:rPr>
                <w:b w:val="0"/>
                <w:bCs w:val="0"/>
                <w:szCs w:val="24"/>
              </w:rPr>
              <w:t>5</w:t>
            </w:r>
          </w:p>
        </w:tc>
        <w:tc>
          <w:tcPr>
            <w:tcW w:w="9090" w:type="dxa"/>
          </w:tcPr>
          <w:p w14:paraId="15E8939E" w14:textId="77777777" w:rsidR="009511D5" w:rsidRPr="005E606B" w:rsidRDefault="009511D5" w:rsidP="006B2EE7">
            <w:pPr>
              <w:spacing w:line="276" w:lineRule="auto"/>
              <w:rPr>
                <w:b w:val="0"/>
                <w:bCs w:val="0"/>
                <w:szCs w:val="24"/>
              </w:rPr>
            </w:pPr>
            <w:r w:rsidRPr="005E606B">
              <w:rPr>
                <w:b w:val="0"/>
                <w:bCs w:val="0"/>
                <w:szCs w:val="24"/>
              </w:rPr>
              <w:t>For adults with sepsis or septic shock, we recommend using crystalloids as first-line fluid for resuscitation.</w:t>
            </w:r>
          </w:p>
        </w:tc>
      </w:tr>
      <w:tr w:rsidR="009511D5" w:rsidRPr="005E606B" w14:paraId="1545BCF8" w14:textId="77777777" w:rsidTr="005B2E43">
        <w:tc>
          <w:tcPr>
            <w:tcW w:w="621" w:type="dxa"/>
          </w:tcPr>
          <w:p w14:paraId="727171ED" w14:textId="77777777" w:rsidR="009511D5" w:rsidRPr="005E606B" w:rsidRDefault="009511D5" w:rsidP="006B2EE7">
            <w:pPr>
              <w:spacing w:line="276" w:lineRule="auto"/>
              <w:rPr>
                <w:b w:val="0"/>
                <w:bCs w:val="0"/>
                <w:szCs w:val="24"/>
              </w:rPr>
            </w:pPr>
            <w:r w:rsidRPr="005E606B">
              <w:rPr>
                <w:b w:val="0"/>
                <w:bCs w:val="0"/>
                <w:szCs w:val="24"/>
              </w:rPr>
              <w:t>6</w:t>
            </w:r>
          </w:p>
        </w:tc>
        <w:tc>
          <w:tcPr>
            <w:tcW w:w="9090" w:type="dxa"/>
          </w:tcPr>
          <w:p w14:paraId="052C7308" w14:textId="77777777" w:rsidR="009511D5" w:rsidRPr="005E606B" w:rsidRDefault="009511D5" w:rsidP="006B2EE7">
            <w:pPr>
              <w:spacing w:line="276" w:lineRule="auto"/>
              <w:rPr>
                <w:b w:val="0"/>
                <w:bCs w:val="0"/>
                <w:szCs w:val="24"/>
              </w:rPr>
            </w:pPr>
            <w:r w:rsidRPr="005E606B">
              <w:rPr>
                <w:b w:val="0"/>
                <w:bCs w:val="0"/>
                <w:szCs w:val="24"/>
              </w:rPr>
              <w:t>For adults with sepsis or septic shock, we suggest using albumin in patients who received large volumes of crystalloids.</w:t>
            </w:r>
          </w:p>
        </w:tc>
      </w:tr>
      <w:tr w:rsidR="009511D5" w:rsidRPr="005E606B" w14:paraId="5DC558B0" w14:textId="77777777" w:rsidTr="005B2E43">
        <w:tc>
          <w:tcPr>
            <w:tcW w:w="621" w:type="dxa"/>
          </w:tcPr>
          <w:p w14:paraId="2F6F3F60" w14:textId="77777777" w:rsidR="009511D5" w:rsidRPr="005E606B" w:rsidRDefault="009511D5" w:rsidP="006B2EE7">
            <w:pPr>
              <w:spacing w:line="276" w:lineRule="auto"/>
              <w:rPr>
                <w:b w:val="0"/>
                <w:bCs w:val="0"/>
                <w:szCs w:val="24"/>
              </w:rPr>
            </w:pPr>
            <w:r w:rsidRPr="005E606B">
              <w:rPr>
                <w:b w:val="0"/>
                <w:bCs w:val="0"/>
                <w:szCs w:val="24"/>
              </w:rPr>
              <w:t>7</w:t>
            </w:r>
          </w:p>
        </w:tc>
        <w:tc>
          <w:tcPr>
            <w:tcW w:w="9090" w:type="dxa"/>
          </w:tcPr>
          <w:p w14:paraId="59DF1213" w14:textId="77777777" w:rsidR="009511D5" w:rsidRPr="005E606B" w:rsidRDefault="009511D5" w:rsidP="006B2EE7">
            <w:pPr>
              <w:spacing w:line="276" w:lineRule="auto"/>
              <w:rPr>
                <w:b w:val="0"/>
                <w:bCs w:val="0"/>
                <w:szCs w:val="24"/>
              </w:rPr>
            </w:pPr>
            <w:r w:rsidRPr="005E606B">
              <w:rPr>
                <w:b w:val="0"/>
                <w:bCs w:val="0"/>
                <w:szCs w:val="24"/>
              </w:rPr>
              <w:t>For adults with sepsis or septic shock, we recommend against using starches for resuscitation.</w:t>
            </w:r>
          </w:p>
        </w:tc>
      </w:tr>
      <w:tr w:rsidR="009511D5" w:rsidRPr="005E606B" w14:paraId="0946B719" w14:textId="77777777" w:rsidTr="005B2E43">
        <w:tc>
          <w:tcPr>
            <w:tcW w:w="621" w:type="dxa"/>
          </w:tcPr>
          <w:p w14:paraId="76E84674" w14:textId="77777777" w:rsidR="009511D5" w:rsidRPr="005E606B" w:rsidRDefault="009511D5" w:rsidP="006B2EE7">
            <w:pPr>
              <w:spacing w:line="276" w:lineRule="auto"/>
              <w:rPr>
                <w:b w:val="0"/>
                <w:bCs w:val="0"/>
                <w:szCs w:val="24"/>
              </w:rPr>
            </w:pPr>
            <w:r w:rsidRPr="005E606B">
              <w:rPr>
                <w:b w:val="0"/>
                <w:bCs w:val="0"/>
                <w:szCs w:val="24"/>
              </w:rPr>
              <w:t>8</w:t>
            </w:r>
          </w:p>
        </w:tc>
        <w:tc>
          <w:tcPr>
            <w:tcW w:w="9090" w:type="dxa"/>
          </w:tcPr>
          <w:p w14:paraId="47E3CD45" w14:textId="77777777" w:rsidR="009511D5" w:rsidRPr="005E606B" w:rsidRDefault="009511D5" w:rsidP="006B2EE7">
            <w:pPr>
              <w:spacing w:line="276" w:lineRule="auto"/>
              <w:rPr>
                <w:b w:val="0"/>
                <w:bCs w:val="0"/>
                <w:szCs w:val="24"/>
              </w:rPr>
            </w:pPr>
            <w:r w:rsidRPr="005E606B">
              <w:rPr>
                <w:b w:val="0"/>
                <w:bCs w:val="0"/>
                <w:szCs w:val="24"/>
              </w:rPr>
              <w:t>For adults with septic shock, we recommend using norepinephrine as the first-line agent over other vasopressors.</w:t>
            </w:r>
          </w:p>
        </w:tc>
      </w:tr>
      <w:tr w:rsidR="009511D5" w:rsidRPr="005E606B" w14:paraId="67FAF0E4" w14:textId="77777777" w:rsidTr="005B2E43">
        <w:tc>
          <w:tcPr>
            <w:tcW w:w="621" w:type="dxa"/>
          </w:tcPr>
          <w:p w14:paraId="78EAE430" w14:textId="77777777" w:rsidR="009511D5" w:rsidRPr="005E606B" w:rsidRDefault="009511D5" w:rsidP="006B2EE7">
            <w:pPr>
              <w:spacing w:line="276" w:lineRule="auto"/>
              <w:rPr>
                <w:b w:val="0"/>
                <w:bCs w:val="0"/>
                <w:szCs w:val="24"/>
              </w:rPr>
            </w:pPr>
            <w:r w:rsidRPr="005E606B">
              <w:rPr>
                <w:b w:val="0"/>
                <w:bCs w:val="0"/>
                <w:szCs w:val="24"/>
              </w:rPr>
              <w:t>9</w:t>
            </w:r>
          </w:p>
        </w:tc>
        <w:tc>
          <w:tcPr>
            <w:tcW w:w="9090" w:type="dxa"/>
          </w:tcPr>
          <w:p w14:paraId="664108C9" w14:textId="77777777" w:rsidR="009511D5" w:rsidRPr="005E606B" w:rsidRDefault="009511D5" w:rsidP="006B2EE7">
            <w:pPr>
              <w:spacing w:line="276" w:lineRule="auto"/>
              <w:rPr>
                <w:b w:val="0"/>
                <w:bCs w:val="0"/>
                <w:szCs w:val="24"/>
              </w:rPr>
            </w:pPr>
            <w:r w:rsidRPr="005E606B">
              <w:rPr>
                <w:b w:val="0"/>
                <w:bCs w:val="0"/>
                <w:szCs w:val="24"/>
              </w:rPr>
              <w:t>For adults with septic shock on norepinephrine with inadequate mean arterial pressure levels, we suggest adding vasopressin instead of escalating the dose of norepinephrine.</w:t>
            </w:r>
          </w:p>
        </w:tc>
      </w:tr>
      <w:tr w:rsidR="009511D5" w:rsidRPr="005E606B" w14:paraId="44DE8B4A" w14:textId="77777777" w:rsidTr="005B2E43">
        <w:tc>
          <w:tcPr>
            <w:tcW w:w="621" w:type="dxa"/>
          </w:tcPr>
          <w:p w14:paraId="20F84DEC" w14:textId="77777777" w:rsidR="009511D5" w:rsidRPr="005E606B" w:rsidRDefault="009511D5" w:rsidP="006B2EE7">
            <w:pPr>
              <w:spacing w:line="276" w:lineRule="auto"/>
              <w:rPr>
                <w:b w:val="0"/>
                <w:bCs w:val="0"/>
                <w:szCs w:val="24"/>
              </w:rPr>
            </w:pPr>
            <w:r w:rsidRPr="005E606B">
              <w:rPr>
                <w:b w:val="0"/>
                <w:bCs w:val="0"/>
                <w:szCs w:val="24"/>
              </w:rPr>
              <w:t>10</w:t>
            </w:r>
          </w:p>
        </w:tc>
        <w:tc>
          <w:tcPr>
            <w:tcW w:w="9090" w:type="dxa"/>
          </w:tcPr>
          <w:p w14:paraId="70D20A35" w14:textId="673C55E0" w:rsidR="009511D5" w:rsidRPr="005E606B" w:rsidRDefault="009511D5" w:rsidP="006B2EE7">
            <w:pPr>
              <w:spacing w:line="276" w:lineRule="auto"/>
              <w:rPr>
                <w:b w:val="0"/>
                <w:bCs w:val="0"/>
                <w:szCs w:val="24"/>
              </w:rPr>
            </w:pPr>
            <w:r w:rsidRPr="005E606B">
              <w:rPr>
                <w:b w:val="0"/>
                <w:bCs w:val="0"/>
                <w:szCs w:val="24"/>
              </w:rPr>
              <w:t>For adults with sepsis-induced ARDS, we recommend using a low tidal volume ventilation strategy (6</w:t>
            </w:r>
            <w:r w:rsidR="00940170">
              <w:rPr>
                <w:b w:val="0"/>
                <w:bCs w:val="0"/>
                <w:szCs w:val="24"/>
              </w:rPr>
              <w:t xml:space="preserve"> </w:t>
            </w:r>
            <w:r w:rsidRPr="005E606B">
              <w:rPr>
                <w:b w:val="0"/>
                <w:bCs w:val="0"/>
                <w:szCs w:val="24"/>
              </w:rPr>
              <w:t>m</w:t>
            </w:r>
            <w:r w:rsidR="00940170">
              <w:rPr>
                <w:b w:val="0"/>
                <w:bCs w:val="0"/>
                <w:szCs w:val="24"/>
              </w:rPr>
              <w:t>l</w:t>
            </w:r>
            <w:r w:rsidRPr="005E606B">
              <w:rPr>
                <w:b w:val="0"/>
                <w:bCs w:val="0"/>
                <w:szCs w:val="24"/>
              </w:rPr>
              <w:t>/kg), over a high tidal volume strategy (&gt;10</w:t>
            </w:r>
            <w:r w:rsidR="00940170">
              <w:rPr>
                <w:b w:val="0"/>
                <w:bCs w:val="0"/>
                <w:szCs w:val="24"/>
              </w:rPr>
              <w:t xml:space="preserve"> </w:t>
            </w:r>
            <w:r w:rsidRPr="005E606B">
              <w:rPr>
                <w:b w:val="0"/>
                <w:bCs w:val="0"/>
                <w:szCs w:val="24"/>
              </w:rPr>
              <w:t>m</w:t>
            </w:r>
            <w:r w:rsidR="00940170">
              <w:rPr>
                <w:b w:val="0"/>
                <w:bCs w:val="0"/>
                <w:szCs w:val="24"/>
              </w:rPr>
              <w:t>l</w:t>
            </w:r>
            <w:r w:rsidRPr="005E606B">
              <w:rPr>
                <w:b w:val="0"/>
                <w:bCs w:val="0"/>
                <w:szCs w:val="24"/>
              </w:rPr>
              <w:t>/kg).</w:t>
            </w:r>
          </w:p>
        </w:tc>
      </w:tr>
      <w:tr w:rsidR="009511D5" w:rsidRPr="005E606B" w14:paraId="0C373292" w14:textId="77777777" w:rsidTr="005B2E43">
        <w:tc>
          <w:tcPr>
            <w:tcW w:w="621" w:type="dxa"/>
          </w:tcPr>
          <w:p w14:paraId="28926F6D" w14:textId="77777777" w:rsidR="009511D5" w:rsidRPr="005E606B" w:rsidRDefault="009511D5" w:rsidP="006B2EE7">
            <w:pPr>
              <w:spacing w:line="276" w:lineRule="auto"/>
              <w:rPr>
                <w:b w:val="0"/>
                <w:bCs w:val="0"/>
                <w:szCs w:val="24"/>
              </w:rPr>
            </w:pPr>
            <w:r w:rsidRPr="005E606B">
              <w:rPr>
                <w:b w:val="0"/>
                <w:bCs w:val="0"/>
                <w:szCs w:val="24"/>
              </w:rPr>
              <w:t>11</w:t>
            </w:r>
          </w:p>
        </w:tc>
        <w:tc>
          <w:tcPr>
            <w:tcW w:w="9090" w:type="dxa"/>
          </w:tcPr>
          <w:p w14:paraId="14C95E66" w14:textId="77777777" w:rsidR="009511D5" w:rsidRPr="005E606B" w:rsidRDefault="009511D5" w:rsidP="006B2EE7">
            <w:pPr>
              <w:spacing w:line="276" w:lineRule="auto"/>
              <w:rPr>
                <w:b w:val="0"/>
                <w:bCs w:val="0"/>
                <w:szCs w:val="24"/>
              </w:rPr>
            </w:pPr>
            <w:r w:rsidRPr="005E606B">
              <w:rPr>
                <w:b w:val="0"/>
                <w:bCs w:val="0"/>
                <w:szCs w:val="24"/>
              </w:rPr>
              <w:t>For adults with septic shock and an ongoing requirement for vasopressor therapy, we suggest using IV corticosteroids.</w:t>
            </w:r>
          </w:p>
        </w:tc>
      </w:tr>
      <w:tr w:rsidR="009511D5" w:rsidRPr="005E606B" w14:paraId="3E1E33A6" w14:textId="77777777" w:rsidTr="005B2E43">
        <w:tc>
          <w:tcPr>
            <w:tcW w:w="621" w:type="dxa"/>
          </w:tcPr>
          <w:p w14:paraId="3C9BB167" w14:textId="77777777" w:rsidR="009511D5" w:rsidRPr="005E606B" w:rsidRDefault="009511D5" w:rsidP="006B2EE7">
            <w:pPr>
              <w:spacing w:line="276" w:lineRule="auto"/>
              <w:rPr>
                <w:b w:val="0"/>
                <w:bCs w:val="0"/>
                <w:szCs w:val="24"/>
              </w:rPr>
            </w:pPr>
            <w:r w:rsidRPr="005E606B">
              <w:rPr>
                <w:b w:val="0"/>
                <w:bCs w:val="0"/>
                <w:szCs w:val="24"/>
              </w:rPr>
              <w:t>12</w:t>
            </w:r>
          </w:p>
        </w:tc>
        <w:tc>
          <w:tcPr>
            <w:tcW w:w="9090" w:type="dxa"/>
          </w:tcPr>
          <w:p w14:paraId="3BF19642" w14:textId="77777777" w:rsidR="009511D5" w:rsidRPr="005E606B" w:rsidRDefault="009511D5" w:rsidP="006B2EE7">
            <w:pPr>
              <w:spacing w:line="276" w:lineRule="auto"/>
              <w:rPr>
                <w:b w:val="0"/>
                <w:bCs w:val="0"/>
                <w:szCs w:val="24"/>
              </w:rPr>
            </w:pPr>
            <w:r w:rsidRPr="005E606B">
              <w:rPr>
                <w:b w:val="0"/>
                <w:bCs w:val="0"/>
                <w:szCs w:val="24"/>
              </w:rPr>
              <w:t>For adults with sepsis or septic shock, and who have risk factors for gastrointestinal (GI) bleeding, we suggest using stress ulcer prophylaxis.</w:t>
            </w:r>
          </w:p>
        </w:tc>
      </w:tr>
      <w:tr w:rsidR="009511D5" w:rsidRPr="005E606B" w14:paraId="5D448894" w14:textId="77777777" w:rsidTr="005B2E43">
        <w:tc>
          <w:tcPr>
            <w:tcW w:w="621" w:type="dxa"/>
          </w:tcPr>
          <w:p w14:paraId="27B040B2" w14:textId="77777777" w:rsidR="009511D5" w:rsidRPr="005E606B" w:rsidRDefault="009511D5" w:rsidP="006B2EE7">
            <w:pPr>
              <w:spacing w:line="276" w:lineRule="auto"/>
              <w:rPr>
                <w:b w:val="0"/>
                <w:bCs w:val="0"/>
                <w:szCs w:val="24"/>
              </w:rPr>
            </w:pPr>
            <w:r w:rsidRPr="005E606B">
              <w:rPr>
                <w:b w:val="0"/>
                <w:bCs w:val="0"/>
                <w:szCs w:val="24"/>
              </w:rPr>
              <w:t>13</w:t>
            </w:r>
          </w:p>
        </w:tc>
        <w:tc>
          <w:tcPr>
            <w:tcW w:w="9090" w:type="dxa"/>
          </w:tcPr>
          <w:p w14:paraId="2FAEBAE4" w14:textId="77777777" w:rsidR="009511D5" w:rsidRPr="005E606B" w:rsidRDefault="009511D5" w:rsidP="006B2EE7">
            <w:pPr>
              <w:spacing w:line="276" w:lineRule="auto"/>
              <w:rPr>
                <w:b w:val="0"/>
                <w:bCs w:val="0"/>
                <w:szCs w:val="24"/>
              </w:rPr>
            </w:pPr>
            <w:r w:rsidRPr="005E606B">
              <w:rPr>
                <w:b w:val="0"/>
                <w:bCs w:val="0"/>
                <w:szCs w:val="24"/>
              </w:rPr>
              <w:t>For adults with sepsis or septic shock, we recommend using pharmacologic venous thromboembolism (VTE) prophylaxis unless a contraindication to such therapy exists.</w:t>
            </w:r>
          </w:p>
        </w:tc>
      </w:tr>
      <w:tr w:rsidR="009511D5" w:rsidRPr="005E606B" w14:paraId="051FDED3" w14:textId="77777777" w:rsidTr="005B2E43">
        <w:tc>
          <w:tcPr>
            <w:tcW w:w="621" w:type="dxa"/>
          </w:tcPr>
          <w:p w14:paraId="2938881C" w14:textId="77777777" w:rsidR="009511D5" w:rsidRPr="005E606B" w:rsidRDefault="009511D5" w:rsidP="006B2EE7">
            <w:pPr>
              <w:spacing w:line="276" w:lineRule="auto"/>
              <w:rPr>
                <w:b w:val="0"/>
                <w:bCs w:val="0"/>
                <w:szCs w:val="24"/>
              </w:rPr>
            </w:pPr>
            <w:r w:rsidRPr="005E606B">
              <w:rPr>
                <w:b w:val="0"/>
                <w:bCs w:val="0"/>
                <w:szCs w:val="24"/>
              </w:rPr>
              <w:t>14</w:t>
            </w:r>
          </w:p>
        </w:tc>
        <w:tc>
          <w:tcPr>
            <w:tcW w:w="9090" w:type="dxa"/>
          </w:tcPr>
          <w:p w14:paraId="78CA54B0" w14:textId="77777777" w:rsidR="009511D5" w:rsidRPr="005E606B" w:rsidRDefault="009511D5" w:rsidP="006B2EE7">
            <w:pPr>
              <w:spacing w:line="276" w:lineRule="auto"/>
              <w:rPr>
                <w:b w:val="0"/>
                <w:bCs w:val="0"/>
                <w:szCs w:val="24"/>
              </w:rPr>
            </w:pPr>
            <w:r w:rsidRPr="005E606B">
              <w:rPr>
                <w:b w:val="0"/>
                <w:bCs w:val="0"/>
                <w:szCs w:val="24"/>
              </w:rPr>
              <w:t>For adults with sepsis or septic shock, we recommend using low molecular weight heparin over unfractionated heparin for VTE prophylaxis.</w:t>
            </w:r>
          </w:p>
        </w:tc>
      </w:tr>
      <w:tr w:rsidR="009511D5" w:rsidRPr="005E606B" w14:paraId="298A91E9" w14:textId="77777777" w:rsidTr="005B2E43">
        <w:tc>
          <w:tcPr>
            <w:tcW w:w="621" w:type="dxa"/>
          </w:tcPr>
          <w:p w14:paraId="32B3F3EF" w14:textId="77777777" w:rsidR="009511D5" w:rsidRPr="005E606B" w:rsidRDefault="009511D5" w:rsidP="006B2EE7">
            <w:pPr>
              <w:spacing w:line="276" w:lineRule="auto"/>
              <w:rPr>
                <w:b w:val="0"/>
                <w:bCs w:val="0"/>
                <w:szCs w:val="24"/>
              </w:rPr>
            </w:pPr>
            <w:r w:rsidRPr="005E606B">
              <w:rPr>
                <w:b w:val="0"/>
                <w:bCs w:val="0"/>
                <w:szCs w:val="24"/>
              </w:rPr>
              <w:t>15</w:t>
            </w:r>
          </w:p>
        </w:tc>
        <w:tc>
          <w:tcPr>
            <w:tcW w:w="9090" w:type="dxa"/>
          </w:tcPr>
          <w:p w14:paraId="3CA1E2E7" w14:textId="4DCC7D2F" w:rsidR="009511D5" w:rsidRPr="005E606B" w:rsidRDefault="009511D5" w:rsidP="006B2EE7">
            <w:pPr>
              <w:spacing w:line="276" w:lineRule="auto"/>
              <w:rPr>
                <w:b w:val="0"/>
                <w:bCs w:val="0"/>
                <w:szCs w:val="24"/>
              </w:rPr>
            </w:pPr>
            <w:r w:rsidRPr="005E606B">
              <w:rPr>
                <w:b w:val="0"/>
                <w:bCs w:val="0"/>
                <w:szCs w:val="24"/>
              </w:rPr>
              <w:t>For adults with sepsis or septic shock, we recommend initiating insulin therapy at a glucose level of ≥ 180</w:t>
            </w:r>
            <w:r w:rsidR="009F3374">
              <w:rPr>
                <w:b w:val="0"/>
                <w:bCs w:val="0"/>
                <w:szCs w:val="24"/>
              </w:rPr>
              <w:t xml:space="preserve"> </w:t>
            </w:r>
            <w:r w:rsidRPr="005E606B">
              <w:rPr>
                <w:b w:val="0"/>
                <w:bCs w:val="0"/>
                <w:szCs w:val="24"/>
              </w:rPr>
              <w:t>mg/d</w:t>
            </w:r>
            <w:r w:rsidR="009F3374">
              <w:rPr>
                <w:b w:val="0"/>
                <w:bCs w:val="0"/>
                <w:szCs w:val="24"/>
              </w:rPr>
              <w:t>l</w:t>
            </w:r>
            <w:r w:rsidRPr="005E606B">
              <w:rPr>
                <w:b w:val="0"/>
                <w:bCs w:val="0"/>
                <w:szCs w:val="24"/>
              </w:rPr>
              <w:t xml:space="preserve"> (10 mmol/</w:t>
            </w:r>
            <w:r w:rsidR="009F3374">
              <w:rPr>
                <w:b w:val="0"/>
                <w:bCs w:val="0"/>
                <w:szCs w:val="24"/>
              </w:rPr>
              <w:t>l</w:t>
            </w:r>
            <w:r w:rsidRPr="005E606B">
              <w:rPr>
                <w:b w:val="0"/>
                <w:bCs w:val="0"/>
                <w:szCs w:val="24"/>
              </w:rPr>
              <w:t>).</w:t>
            </w:r>
          </w:p>
        </w:tc>
      </w:tr>
      <w:tr w:rsidR="009511D5" w:rsidRPr="005E606B" w14:paraId="294044CC" w14:textId="77777777" w:rsidTr="005B2E43">
        <w:tc>
          <w:tcPr>
            <w:tcW w:w="621" w:type="dxa"/>
          </w:tcPr>
          <w:p w14:paraId="440C50E4" w14:textId="77777777" w:rsidR="009511D5" w:rsidRPr="005E606B" w:rsidRDefault="009511D5" w:rsidP="006B2EE7">
            <w:pPr>
              <w:spacing w:line="276" w:lineRule="auto"/>
              <w:rPr>
                <w:b w:val="0"/>
                <w:bCs w:val="0"/>
                <w:szCs w:val="24"/>
              </w:rPr>
            </w:pPr>
            <w:r w:rsidRPr="005E606B">
              <w:rPr>
                <w:b w:val="0"/>
                <w:bCs w:val="0"/>
                <w:szCs w:val="24"/>
              </w:rPr>
              <w:t>16</w:t>
            </w:r>
          </w:p>
        </w:tc>
        <w:tc>
          <w:tcPr>
            <w:tcW w:w="9090" w:type="dxa"/>
          </w:tcPr>
          <w:p w14:paraId="27880BFA" w14:textId="77777777" w:rsidR="009511D5" w:rsidRPr="005E606B" w:rsidRDefault="009511D5" w:rsidP="006B2EE7">
            <w:pPr>
              <w:spacing w:line="276" w:lineRule="auto"/>
              <w:rPr>
                <w:b w:val="0"/>
                <w:bCs w:val="0"/>
                <w:szCs w:val="24"/>
              </w:rPr>
            </w:pPr>
            <w:r w:rsidRPr="005E606B">
              <w:rPr>
                <w:b w:val="0"/>
                <w:bCs w:val="0"/>
                <w:szCs w:val="24"/>
              </w:rPr>
              <w:t>For adults with sepsis and septic shock, we recommend reconciling medications at both ICU and hospital discharge.</w:t>
            </w:r>
          </w:p>
        </w:tc>
      </w:tr>
      <w:tr w:rsidR="009511D5" w:rsidRPr="005E606B" w14:paraId="18BC6481" w14:textId="77777777" w:rsidTr="005B2E43">
        <w:tc>
          <w:tcPr>
            <w:tcW w:w="621" w:type="dxa"/>
          </w:tcPr>
          <w:p w14:paraId="219C0AD2" w14:textId="77777777" w:rsidR="009511D5" w:rsidRPr="005E606B" w:rsidRDefault="009511D5" w:rsidP="006B2EE7">
            <w:pPr>
              <w:spacing w:line="276" w:lineRule="auto"/>
              <w:rPr>
                <w:b w:val="0"/>
                <w:bCs w:val="0"/>
                <w:szCs w:val="24"/>
              </w:rPr>
            </w:pPr>
            <w:r w:rsidRPr="005E606B">
              <w:rPr>
                <w:b w:val="0"/>
                <w:bCs w:val="0"/>
                <w:szCs w:val="24"/>
              </w:rPr>
              <w:t>17</w:t>
            </w:r>
          </w:p>
        </w:tc>
        <w:tc>
          <w:tcPr>
            <w:tcW w:w="9090" w:type="dxa"/>
          </w:tcPr>
          <w:p w14:paraId="7A57E36A" w14:textId="77777777" w:rsidR="009511D5" w:rsidRPr="005E606B" w:rsidRDefault="009511D5" w:rsidP="006B2EE7">
            <w:pPr>
              <w:spacing w:line="276" w:lineRule="auto"/>
              <w:rPr>
                <w:b w:val="0"/>
                <w:bCs w:val="0"/>
                <w:szCs w:val="24"/>
              </w:rPr>
            </w:pPr>
            <w:r w:rsidRPr="005E606B">
              <w:rPr>
                <w:b w:val="0"/>
                <w:bCs w:val="0"/>
                <w:szCs w:val="24"/>
              </w:rPr>
              <w:t>For adult survivors of sepsis and septic shock and their families, we recommend including information about the ICU stay, sepsis and related diagnoses, treatments, and common impairments after sepsis in the written and verbal hospital discharge summary.</w:t>
            </w:r>
          </w:p>
        </w:tc>
      </w:tr>
    </w:tbl>
    <w:p w14:paraId="4112711C" w14:textId="77777777" w:rsidR="009511D5" w:rsidRPr="009511D5" w:rsidRDefault="009511D5"/>
    <w:sectPr w:rsidR="009511D5" w:rsidRPr="00951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5"/>
    <w:rsid w:val="00120505"/>
    <w:rsid w:val="001E3DB7"/>
    <w:rsid w:val="002279EE"/>
    <w:rsid w:val="00296FBA"/>
    <w:rsid w:val="002A2C3A"/>
    <w:rsid w:val="003361E5"/>
    <w:rsid w:val="004847F2"/>
    <w:rsid w:val="005B2E43"/>
    <w:rsid w:val="006E016E"/>
    <w:rsid w:val="00745D91"/>
    <w:rsid w:val="00747F84"/>
    <w:rsid w:val="007C0D82"/>
    <w:rsid w:val="00872754"/>
    <w:rsid w:val="00940170"/>
    <w:rsid w:val="009511D5"/>
    <w:rsid w:val="009D0C26"/>
    <w:rsid w:val="009F3374"/>
    <w:rsid w:val="00AB547C"/>
    <w:rsid w:val="00AF0A8C"/>
    <w:rsid w:val="00C34107"/>
    <w:rsid w:val="00D11E14"/>
    <w:rsid w:val="00FE171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C6B0"/>
  <w15:chartTrackingRefBased/>
  <w15:docId w15:val="{96618559-1FFD-4045-80C4-F878D98F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
        <w:bCs/>
        <w:kern w:val="2"/>
        <w:sz w:val="24"/>
        <w:szCs w:val="22"/>
        <w:lang w:val="en-IN" w:eastAsia="zh-CN"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51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51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511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511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511D5"/>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9511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9511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9511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9511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11D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511D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511D5"/>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511D5"/>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9511D5"/>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9511D5"/>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9511D5"/>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9511D5"/>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9511D5"/>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9511D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511D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511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511D5"/>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9511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9511D5"/>
    <w:rPr>
      <w:i/>
      <w:iCs/>
      <w:color w:val="404040" w:themeColor="text1" w:themeTint="BF"/>
    </w:rPr>
  </w:style>
  <w:style w:type="paragraph" w:styleId="Odstavecseseznamem">
    <w:name w:val="List Paragraph"/>
    <w:basedOn w:val="Normln"/>
    <w:uiPriority w:val="34"/>
    <w:qFormat/>
    <w:rsid w:val="009511D5"/>
    <w:pPr>
      <w:ind w:left="720"/>
      <w:contextualSpacing/>
    </w:pPr>
  </w:style>
  <w:style w:type="character" w:styleId="Zdraznnintenzivn">
    <w:name w:val="Intense Emphasis"/>
    <w:basedOn w:val="Standardnpsmoodstavce"/>
    <w:uiPriority w:val="21"/>
    <w:qFormat/>
    <w:rsid w:val="009511D5"/>
    <w:rPr>
      <w:i/>
      <w:iCs/>
      <w:color w:val="2F5496" w:themeColor="accent1" w:themeShade="BF"/>
    </w:rPr>
  </w:style>
  <w:style w:type="paragraph" w:styleId="Vrazncitt">
    <w:name w:val="Intense Quote"/>
    <w:basedOn w:val="Normln"/>
    <w:next w:val="Normln"/>
    <w:link w:val="VrazncittChar"/>
    <w:uiPriority w:val="30"/>
    <w:qFormat/>
    <w:rsid w:val="00951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511D5"/>
    <w:rPr>
      <w:i/>
      <w:iCs/>
      <w:color w:val="2F5496" w:themeColor="accent1" w:themeShade="BF"/>
    </w:rPr>
  </w:style>
  <w:style w:type="character" w:styleId="Odkazintenzivn">
    <w:name w:val="Intense Reference"/>
    <w:basedOn w:val="Standardnpsmoodstavce"/>
    <w:uiPriority w:val="32"/>
    <w:qFormat/>
    <w:rsid w:val="009511D5"/>
    <w:rPr>
      <w:b w:val="0"/>
      <w:bCs w:val="0"/>
      <w:smallCaps/>
      <w:color w:val="2F5496" w:themeColor="accent1" w:themeShade="BF"/>
      <w:spacing w:val="5"/>
    </w:rPr>
  </w:style>
  <w:style w:type="table" w:styleId="Mkatabulky">
    <w:name w:val="Table Grid"/>
    <w:basedOn w:val="Normlntabulka"/>
    <w:uiPriority w:val="59"/>
    <w:rsid w:val="00951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2200</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Vinodkumar Mugada</dc:creator>
  <cp:keywords/>
  <dc:description/>
  <cp:lastModifiedBy>Lucie Šulcová</cp:lastModifiedBy>
  <cp:revision>4</cp:revision>
  <dcterms:created xsi:type="dcterms:W3CDTF">2025-05-22T18:12:00Z</dcterms:created>
  <dcterms:modified xsi:type="dcterms:W3CDTF">2026-05-21T14:29:00Z</dcterms:modified>
</cp:coreProperties>
</file>